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7966EF" w:rsidRDefault="00250B7F" w:rsidP="007966E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>„</w:t>
      </w:r>
      <w:r w:rsidR="000208FA">
        <w:rPr>
          <w:rFonts w:ascii="Arial" w:hAnsi="Arial" w:cs="Arial"/>
          <w:sz w:val="20"/>
          <w:szCs w:val="20"/>
        </w:rPr>
        <w:t xml:space="preserve">Dostawy części zamiennych produkcji: DAF, MERITOR, </w:t>
      </w:r>
      <w:proofErr w:type="spellStart"/>
      <w:r w:rsidR="000208FA">
        <w:rPr>
          <w:rFonts w:ascii="Arial" w:hAnsi="Arial" w:cs="Arial"/>
          <w:sz w:val="20"/>
          <w:szCs w:val="20"/>
        </w:rPr>
        <w:t>ZF-ZF-SACH</w:t>
      </w:r>
      <w:proofErr w:type="spellEnd"/>
      <w:r w:rsidR="000208FA">
        <w:rPr>
          <w:rFonts w:ascii="Arial" w:hAnsi="Arial" w:cs="Arial"/>
          <w:sz w:val="20"/>
          <w:szCs w:val="20"/>
        </w:rPr>
        <w:t xml:space="preserve">, LEMMERZ, </w:t>
      </w:r>
      <w:proofErr w:type="spellStart"/>
      <w:r w:rsidR="000208FA">
        <w:rPr>
          <w:rFonts w:ascii="Arial" w:hAnsi="Arial" w:cs="Arial"/>
          <w:sz w:val="20"/>
          <w:szCs w:val="20"/>
        </w:rPr>
        <w:t>HANSA-FLEX</w:t>
      </w:r>
      <w:proofErr w:type="spellEnd"/>
      <w:r w:rsidR="000208FA">
        <w:rPr>
          <w:rFonts w:ascii="Arial" w:hAnsi="Arial" w:cs="Arial"/>
          <w:sz w:val="20"/>
          <w:szCs w:val="20"/>
        </w:rPr>
        <w:t>, IZNS IŁAWA, RAWAG, MOTOPLAST/TECHPLAST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</w:t>
      </w:r>
      <w:r w:rsidR="004E1E76">
        <w:rPr>
          <w:rFonts w:ascii="Arial" w:hAnsi="Arial"/>
          <w:sz w:val="19"/>
          <w:szCs w:val="19"/>
        </w:rPr>
        <w:t>-</w:t>
      </w:r>
      <w:r w:rsidR="00304D84">
        <w:rPr>
          <w:rFonts w:ascii="Arial" w:hAnsi="Arial"/>
          <w:sz w:val="19"/>
          <w:szCs w:val="19"/>
        </w:rPr>
        <w:t>59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</w:t>
      </w:r>
      <w:r w:rsidR="00D24DB7" w:rsidRPr="00C866BB">
        <w:rPr>
          <w:rFonts w:ascii="Arial" w:hAnsi="Arial" w:cs="Arial"/>
          <w:sz w:val="20"/>
          <w:szCs w:val="20"/>
        </w:rPr>
        <w:t xml:space="preserve">sukcesywne dostawy </w:t>
      </w:r>
      <w:r w:rsidR="00D24DB7">
        <w:rPr>
          <w:rFonts w:ascii="Arial" w:hAnsi="Arial" w:cs="Arial"/>
          <w:sz w:val="20"/>
          <w:szCs w:val="20"/>
        </w:rPr>
        <w:t xml:space="preserve">części zamiennych produkcji </w:t>
      </w:r>
      <w:r w:rsidR="000208FA">
        <w:rPr>
          <w:rFonts w:ascii="Arial" w:hAnsi="Arial" w:cs="Arial"/>
          <w:sz w:val="20"/>
          <w:szCs w:val="20"/>
        </w:rPr>
        <w:t xml:space="preserve">DAF, MERITOR, </w:t>
      </w:r>
      <w:proofErr w:type="spellStart"/>
      <w:r w:rsidR="000208FA">
        <w:rPr>
          <w:rFonts w:ascii="Arial" w:hAnsi="Arial" w:cs="Arial"/>
          <w:sz w:val="20"/>
          <w:szCs w:val="20"/>
        </w:rPr>
        <w:t>ZF-ZF-SACH</w:t>
      </w:r>
      <w:proofErr w:type="spellEnd"/>
      <w:r w:rsidR="000208FA">
        <w:rPr>
          <w:rFonts w:ascii="Arial" w:hAnsi="Arial" w:cs="Arial"/>
          <w:sz w:val="20"/>
          <w:szCs w:val="20"/>
        </w:rPr>
        <w:t xml:space="preserve">, LEMMERZ, </w:t>
      </w:r>
      <w:proofErr w:type="spellStart"/>
      <w:r w:rsidR="000208FA">
        <w:rPr>
          <w:rFonts w:ascii="Arial" w:hAnsi="Arial" w:cs="Arial"/>
          <w:sz w:val="20"/>
          <w:szCs w:val="20"/>
        </w:rPr>
        <w:t>HANSA-FLEX</w:t>
      </w:r>
      <w:proofErr w:type="spellEnd"/>
      <w:r w:rsidR="000208FA">
        <w:rPr>
          <w:rFonts w:ascii="Arial" w:hAnsi="Arial" w:cs="Arial"/>
          <w:sz w:val="20"/>
          <w:szCs w:val="20"/>
        </w:rPr>
        <w:t>, IZNS IŁAWA, RAWAG, MOTOPLAST/TECHPLAST</w:t>
      </w:r>
      <w:r w:rsidR="00D24DB7" w:rsidRPr="002B72FC">
        <w:rPr>
          <w:rFonts w:ascii="Arial" w:hAnsi="Arial" w:cs="Arial"/>
          <w:sz w:val="20"/>
          <w:szCs w:val="20"/>
        </w:rPr>
        <w:t>,</w:t>
      </w:r>
      <w:r w:rsidR="00D24DB7">
        <w:rPr>
          <w:rFonts w:ascii="Arial" w:hAnsi="Arial" w:cs="Arial"/>
          <w:sz w:val="20"/>
          <w:szCs w:val="20"/>
        </w:rPr>
        <w:t xml:space="preserve"> </w:t>
      </w:r>
      <w:r w:rsidRPr="008D1CE0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7966E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0208FA">
        <w:rPr>
          <w:rFonts w:ascii="Arial" w:hAnsi="Arial"/>
          <w:sz w:val="19"/>
          <w:szCs w:val="19"/>
        </w:rPr>
        <w:t>9</w:t>
      </w:r>
      <w:r w:rsidR="007966E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7966EF">
        <w:rPr>
          <w:rFonts w:ascii="Arial" w:hAnsi="Arial" w:cs="Arial"/>
          <w:b/>
          <w:sz w:val="19"/>
          <w:szCs w:val="19"/>
        </w:rPr>
        <w:t>1</w:t>
      </w:r>
      <w:r w:rsidR="000208FA">
        <w:rPr>
          <w:rFonts w:ascii="Arial" w:hAnsi="Arial" w:cs="Arial"/>
          <w:b/>
          <w:sz w:val="19"/>
          <w:szCs w:val="19"/>
        </w:rPr>
        <w:t>2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7966EF">
        <w:rPr>
          <w:rFonts w:ascii="Arial" w:hAnsi="Arial" w:cs="Arial"/>
          <w:b/>
          <w:sz w:val="19"/>
          <w:szCs w:val="19"/>
        </w:rPr>
        <w:t>ę</w:t>
      </w:r>
      <w:r w:rsidR="004E1E76">
        <w:rPr>
          <w:rFonts w:ascii="Arial" w:hAnsi="Arial" w:cs="Arial"/>
          <w:b/>
          <w:sz w:val="19"/>
          <w:szCs w:val="19"/>
        </w:rPr>
        <w:t>c</w:t>
      </w:r>
      <w:r w:rsidR="007966EF">
        <w:rPr>
          <w:rFonts w:ascii="Arial" w:hAnsi="Arial" w:cs="Arial"/>
          <w:b/>
          <w:sz w:val="19"/>
          <w:szCs w:val="19"/>
        </w:rPr>
        <w:t>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</w:t>
      </w:r>
      <w:r w:rsidR="00B61E61" w:rsidRPr="00B61E61">
        <w:rPr>
          <w:rFonts w:ascii="Arial" w:hAnsi="Arial" w:cs="Arial"/>
          <w:b/>
          <w:sz w:val="19"/>
          <w:szCs w:val="19"/>
        </w:rPr>
        <w:t>do 4 dni roboczych</w:t>
      </w:r>
      <w:r w:rsidR="00B61E61" w:rsidRPr="00B61E61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tbl>
      <w:tblPr>
        <w:tblW w:w="9002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20"/>
        <w:gridCol w:w="5882"/>
      </w:tblGrid>
      <w:tr w:rsidR="007413A6" w:rsidRPr="001E1779" w:rsidTr="007413A6">
        <w:trPr>
          <w:trHeight w:val="335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23 000,00 zł (dwadzieścia trzy tysiące złotych 00/100)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3 600,00 zł (trzy tysiące sześćset złotych 00/100)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1 000,00 zł (tysiąc złotych 00/100)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1 500,00 zł (tysiąc pięćset złotych)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5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 xml:space="preserve">   600,00 zł (sześćset złotych 00/100)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6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 xml:space="preserve">   300,00 zł (trzysta złotych 00/100)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7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 xml:space="preserve"> 3 000,00 zł (trzy tysiące złotych 00/100)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8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 xml:space="preserve">   630,00 zł (sześćset trzydzieści złotych )</w:t>
            </w:r>
          </w:p>
        </w:tc>
      </w:tr>
      <w:tr w:rsidR="007413A6" w:rsidRPr="001E1779" w:rsidTr="007413A6">
        <w:trPr>
          <w:trHeight w:val="347"/>
          <w:jc w:val="center"/>
        </w:trPr>
        <w:tc>
          <w:tcPr>
            <w:tcW w:w="3120" w:type="dxa"/>
            <w:vAlign w:val="center"/>
          </w:tcPr>
          <w:p w:rsidR="007413A6" w:rsidRPr="007413A6" w:rsidRDefault="007413A6" w:rsidP="007413A6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>dla Zadania nr 9</w:t>
            </w:r>
          </w:p>
        </w:tc>
        <w:tc>
          <w:tcPr>
            <w:tcW w:w="5882" w:type="dxa"/>
            <w:vAlign w:val="center"/>
          </w:tcPr>
          <w:p w:rsidR="007413A6" w:rsidRPr="007413A6" w:rsidRDefault="007413A6" w:rsidP="007413A6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13A6">
              <w:rPr>
                <w:rFonts w:ascii="Arial" w:hAnsi="Arial" w:cs="Arial"/>
                <w:sz w:val="18"/>
                <w:szCs w:val="18"/>
              </w:rPr>
              <w:t xml:space="preserve"> 1 700,00 zł (tysiąc siedemset złotych 00/100)</w:t>
            </w:r>
          </w:p>
        </w:tc>
      </w:tr>
    </w:tbl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7966EF" w:rsidRPr="004E1E76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  <w:r w:rsidR="007966EF">
        <w:rPr>
          <w:rFonts w:ascii="Arial" w:hAnsi="Arial" w:cs="Arial"/>
          <w:b/>
          <w:sz w:val="19"/>
          <w:szCs w:val="19"/>
        </w:rPr>
        <w:t xml:space="preserve">- </w:t>
      </w:r>
      <w:r w:rsidR="007966EF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DF533C">
        <w:rPr>
          <w:rFonts w:ascii="Arial" w:hAnsi="Arial" w:cs="Arial"/>
          <w:b/>
          <w:sz w:val="19"/>
          <w:szCs w:val="19"/>
        </w:rPr>
        <w:t>09.05.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DF533C">
        <w:rPr>
          <w:rFonts w:ascii="Arial" w:hAnsi="Arial" w:cs="Arial"/>
          <w:b/>
          <w:sz w:val="19"/>
          <w:szCs w:val="19"/>
        </w:rPr>
        <w:t>09.05.</w:t>
      </w:r>
      <w:r w:rsidR="004E1E76">
        <w:rPr>
          <w:rFonts w:ascii="Arial" w:hAnsi="Arial" w:cs="Arial"/>
          <w:b/>
          <w:sz w:val="19"/>
          <w:szCs w:val="19"/>
        </w:rPr>
        <w:t>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Kraków, dnia</w:t>
      </w:r>
      <w:r w:rsidR="00752C24">
        <w:rPr>
          <w:rFonts w:ascii="Arial" w:hAnsi="Arial" w:cs="Arial"/>
          <w:sz w:val="19"/>
          <w:szCs w:val="19"/>
        </w:rPr>
        <w:t xml:space="preserve"> </w:t>
      </w:r>
      <w:r w:rsidR="00EE6F24">
        <w:rPr>
          <w:rFonts w:ascii="Arial" w:hAnsi="Arial" w:cs="Arial"/>
          <w:sz w:val="19"/>
          <w:szCs w:val="19"/>
        </w:rPr>
        <w:t>25.04.</w:t>
      </w:r>
      <w:r w:rsidR="006253A4">
        <w:rPr>
          <w:rFonts w:ascii="Arial" w:hAnsi="Arial" w:cs="Arial"/>
          <w:sz w:val="19"/>
          <w:szCs w:val="19"/>
        </w:rPr>
        <w:t>2017</w:t>
      </w:r>
      <w:r w:rsidR="00250B7F" w:rsidRPr="00681B96">
        <w:rPr>
          <w:rFonts w:ascii="Arial" w:hAnsi="Arial" w:cs="Arial"/>
          <w:sz w:val="19"/>
          <w:szCs w:val="19"/>
        </w:rPr>
        <w:t xml:space="preserve"> 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A6" w:rsidRDefault="007413A6" w:rsidP="00AE4700">
      <w:pPr>
        <w:spacing w:after="0" w:line="240" w:lineRule="auto"/>
      </w:pPr>
      <w:r>
        <w:separator/>
      </w:r>
    </w:p>
  </w:endnote>
  <w:endnote w:type="continuationSeparator" w:id="0">
    <w:p w:rsidR="007413A6" w:rsidRDefault="007413A6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A6" w:rsidRPr="009F6796" w:rsidRDefault="007413A6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59/17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C615C6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C615C6" w:rsidRPr="009F6796">
      <w:rPr>
        <w:rFonts w:ascii="Arial" w:hAnsi="Arial" w:cs="Arial"/>
        <w:b/>
        <w:sz w:val="16"/>
        <w:szCs w:val="16"/>
      </w:rPr>
      <w:fldChar w:fldCharType="separate"/>
    </w:r>
    <w:r w:rsidR="00EE6F24">
      <w:rPr>
        <w:rFonts w:ascii="Arial" w:hAnsi="Arial" w:cs="Arial"/>
        <w:b/>
        <w:noProof/>
        <w:sz w:val="16"/>
        <w:szCs w:val="16"/>
      </w:rPr>
      <w:t>2</w:t>
    </w:r>
    <w:r w:rsidR="00C615C6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C615C6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C615C6" w:rsidRPr="009F6796">
      <w:rPr>
        <w:rFonts w:ascii="Arial" w:hAnsi="Arial" w:cs="Arial"/>
        <w:b/>
        <w:sz w:val="16"/>
        <w:szCs w:val="16"/>
      </w:rPr>
      <w:fldChar w:fldCharType="separate"/>
    </w:r>
    <w:r w:rsidR="00EE6F24">
      <w:rPr>
        <w:rFonts w:ascii="Arial" w:hAnsi="Arial" w:cs="Arial"/>
        <w:b/>
        <w:noProof/>
        <w:sz w:val="16"/>
        <w:szCs w:val="16"/>
      </w:rPr>
      <w:t>2</w:t>
    </w:r>
    <w:r w:rsidR="00C615C6" w:rsidRPr="009F6796">
      <w:rPr>
        <w:rFonts w:ascii="Arial" w:hAnsi="Arial" w:cs="Arial"/>
        <w:b/>
        <w:sz w:val="16"/>
        <w:szCs w:val="16"/>
      </w:rPr>
      <w:fldChar w:fldCharType="end"/>
    </w:r>
  </w:p>
  <w:p w:rsidR="007413A6" w:rsidRDefault="007413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A6" w:rsidRDefault="007413A6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A6" w:rsidRDefault="007413A6" w:rsidP="00AE4700">
      <w:pPr>
        <w:spacing w:after="0" w:line="240" w:lineRule="auto"/>
      </w:pPr>
      <w:r>
        <w:separator/>
      </w:r>
    </w:p>
  </w:footnote>
  <w:footnote w:type="continuationSeparator" w:id="0">
    <w:p w:rsidR="007413A6" w:rsidRDefault="007413A6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A6" w:rsidRDefault="007413A6">
    <w:pPr>
      <w:pStyle w:val="Nagwek"/>
    </w:pPr>
  </w:p>
  <w:p w:rsidR="007413A6" w:rsidRDefault="007413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A6" w:rsidRDefault="007413A6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03E1"/>
    <w:rsid w:val="000208FA"/>
    <w:rsid w:val="0002392A"/>
    <w:rsid w:val="0002404E"/>
    <w:rsid w:val="00031117"/>
    <w:rsid w:val="00032A86"/>
    <w:rsid w:val="000676A9"/>
    <w:rsid w:val="00085B5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87C47"/>
    <w:rsid w:val="002910FC"/>
    <w:rsid w:val="00297EA9"/>
    <w:rsid w:val="002A2A93"/>
    <w:rsid w:val="002E233B"/>
    <w:rsid w:val="00304D84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44387"/>
    <w:rsid w:val="00450A6B"/>
    <w:rsid w:val="00487E1E"/>
    <w:rsid w:val="0049724F"/>
    <w:rsid w:val="004C265A"/>
    <w:rsid w:val="004E1E76"/>
    <w:rsid w:val="004E3879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13A6"/>
    <w:rsid w:val="007439E3"/>
    <w:rsid w:val="00746394"/>
    <w:rsid w:val="00752C24"/>
    <w:rsid w:val="00755392"/>
    <w:rsid w:val="007705F8"/>
    <w:rsid w:val="0078468B"/>
    <w:rsid w:val="0078598D"/>
    <w:rsid w:val="007966EF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A4BFC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C6C52"/>
    <w:rsid w:val="00BD1471"/>
    <w:rsid w:val="00BE0D1B"/>
    <w:rsid w:val="00BF50C3"/>
    <w:rsid w:val="00C166D0"/>
    <w:rsid w:val="00C20F2D"/>
    <w:rsid w:val="00C25EB1"/>
    <w:rsid w:val="00C34D1D"/>
    <w:rsid w:val="00C40DFC"/>
    <w:rsid w:val="00C44460"/>
    <w:rsid w:val="00C46B13"/>
    <w:rsid w:val="00C47226"/>
    <w:rsid w:val="00C615C6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F301F"/>
    <w:rsid w:val="00DF533C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EE6F24"/>
    <w:rsid w:val="00F00DE6"/>
    <w:rsid w:val="00F2170A"/>
    <w:rsid w:val="00F406C6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C44A-39A3-42E5-920A-2FCE44D2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60</cp:revision>
  <cp:lastPrinted>2017-04-20T06:28:00Z</cp:lastPrinted>
  <dcterms:created xsi:type="dcterms:W3CDTF">2016-03-24T09:38:00Z</dcterms:created>
  <dcterms:modified xsi:type="dcterms:W3CDTF">2017-04-25T06:33:00Z</dcterms:modified>
</cp:coreProperties>
</file>