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DF" w:rsidRDefault="001C19DF" w:rsidP="001C19DF">
      <w:pPr>
        <w:pStyle w:val="Nagwek2"/>
        <w:ind w:left="5954" w:firstLine="418"/>
      </w:pPr>
      <w:r>
        <w:t>Załącznik nr 1 do SIWZ</w:t>
      </w:r>
    </w:p>
    <w:p w:rsidR="001C19DF" w:rsidRDefault="001C19DF" w:rsidP="001C19DF">
      <w:pPr>
        <w:ind w:left="5954" w:firstLine="418"/>
        <w:rPr>
          <w:b/>
          <w:sz w:val="20"/>
        </w:rPr>
      </w:pPr>
      <w:r>
        <w:rPr>
          <w:sz w:val="20"/>
        </w:rPr>
        <w:t>Znak sprawy</w:t>
      </w:r>
      <w:r>
        <w:rPr>
          <w:b/>
          <w:sz w:val="20"/>
        </w:rPr>
        <w:t xml:space="preserve">: </w:t>
      </w:r>
      <w:r>
        <w:rPr>
          <w:rFonts w:cs="Arial"/>
          <w:b/>
          <w:sz w:val="20"/>
        </w:rPr>
        <w:t>LP.281.21.2019</w:t>
      </w:r>
      <w:bookmarkStart w:id="0" w:name="_GoBack"/>
      <w:bookmarkEnd w:id="0"/>
    </w:p>
    <w:p w:rsidR="001C19DF" w:rsidRDefault="001C19DF" w:rsidP="001C19DF">
      <w:pPr>
        <w:rPr>
          <w:b/>
        </w:rPr>
      </w:pPr>
    </w:p>
    <w:p w:rsidR="001C19DF" w:rsidRDefault="001C19DF" w:rsidP="001C19DF"/>
    <w:p w:rsidR="001C19DF" w:rsidRDefault="001C19DF" w:rsidP="001C19DF">
      <w:pPr>
        <w:pStyle w:val="Nagwek1"/>
        <w:spacing w:before="60"/>
        <w:rPr>
          <w:rFonts w:ascii="Arial" w:hAnsi="Arial"/>
        </w:rPr>
      </w:pPr>
    </w:p>
    <w:p w:rsidR="001C19DF" w:rsidRDefault="001C19DF" w:rsidP="001C19DF">
      <w:pPr>
        <w:pStyle w:val="Nagwek1"/>
        <w:spacing w:before="60"/>
        <w:rPr>
          <w:rFonts w:ascii="Arial" w:hAnsi="Arial"/>
        </w:rPr>
      </w:pPr>
    </w:p>
    <w:p w:rsidR="001C19DF" w:rsidRDefault="001C19DF" w:rsidP="001C19DF">
      <w:pPr>
        <w:pStyle w:val="pkt"/>
        <w:spacing w:after="0" w:line="276" w:lineRule="auto"/>
        <w:ind w:left="357" w:firstLine="0"/>
        <w:contextualSpacing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Wymagania techniczne i technologiczne</w:t>
      </w:r>
    </w:p>
    <w:p w:rsidR="001C19DF" w:rsidRDefault="001C19DF" w:rsidP="001C19DF">
      <w:pPr>
        <w:pStyle w:val="pkt"/>
        <w:spacing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:rsidR="001C19DF" w:rsidRDefault="001C19DF" w:rsidP="001C19DF">
      <w:pPr>
        <w:pStyle w:val="pkt"/>
        <w:spacing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:rsidR="001C19DF" w:rsidRDefault="001C19DF" w:rsidP="001C19DF">
      <w:pPr>
        <w:pStyle w:val="pkt"/>
        <w:numPr>
          <w:ilvl w:val="1"/>
          <w:numId w:val="1"/>
        </w:numPr>
        <w:tabs>
          <w:tab w:val="left" w:pos="-284"/>
        </w:tabs>
        <w:spacing w:before="0"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Przywrócenie pierwotnych parametrów technicznych i właściwości użytkowych;</w:t>
      </w:r>
    </w:p>
    <w:p w:rsidR="001C19DF" w:rsidRDefault="001C19DF" w:rsidP="001C19DF">
      <w:pPr>
        <w:pStyle w:val="pkt"/>
        <w:numPr>
          <w:ilvl w:val="1"/>
          <w:numId w:val="1"/>
        </w:numPr>
        <w:tabs>
          <w:tab w:val="left" w:pos="-284"/>
        </w:tabs>
        <w:spacing w:before="0"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Zastosowane metody i technologia muszą odpowiadać aktualnemu poziomowi techniki warsztatowej;</w:t>
      </w:r>
    </w:p>
    <w:p w:rsidR="001C19DF" w:rsidRDefault="001C19DF" w:rsidP="001C19DF">
      <w:pPr>
        <w:pStyle w:val="pkt"/>
        <w:numPr>
          <w:ilvl w:val="1"/>
          <w:numId w:val="1"/>
        </w:numPr>
        <w:spacing w:before="0"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ma posiadać niezbędne wyposażenie do wykonania napraw (regeneracji) części  będących przedmiotem postępowania;</w:t>
      </w:r>
    </w:p>
    <w:p w:rsidR="001C19DF" w:rsidRDefault="001C19DF" w:rsidP="001C19DF">
      <w:pPr>
        <w:pStyle w:val="pkt"/>
        <w:numPr>
          <w:ilvl w:val="1"/>
          <w:numId w:val="1"/>
        </w:numPr>
        <w:spacing w:before="0" w:after="0" w:line="360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Wykonawca zobowiązany jest do oznakowania daty wykonania regeneracji i cech Wykonawcy,  oznakowanie ma być trwałe, czytelne i niedające się usunąć podczas eksploatacji.</w:t>
      </w:r>
    </w:p>
    <w:p w:rsidR="001C19DF" w:rsidRDefault="001C19DF" w:rsidP="001C19DF">
      <w:pPr>
        <w:pStyle w:val="pkt"/>
        <w:numPr>
          <w:ilvl w:val="1"/>
          <w:numId w:val="1"/>
        </w:numPr>
        <w:tabs>
          <w:tab w:val="left" w:pos="-284"/>
        </w:tabs>
        <w:spacing w:before="0"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Usługa będzie wykonana zgodnie z wymaganiami obowiązujących norm i z zasadami wiedzy technicznej tak, aby zostały przywrócone początkowe parametry techniczne przedmiotu postępowania i zgodne z technologią ich producenta.</w:t>
      </w:r>
    </w:p>
    <w:p w:rsidR="001C19DF" w:rsidRDefault="001C19DF" w:rsidP="001C19DF">
      <w:pPr>
        <w:pStyle w:val="Akapitzlist"/>
        <w:numPr>
          <w:ilvl w:val="1"/>
          <w:numId w:val="1"/>
        </w:numPr>
        <w:spacing w:before="0" w:line="360" w:lineRule="auto"/>
        <w:ind w:left="284" w:hanging="284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 xml:space="preserve">Nadajnik po naprawie musi mieć wymienione osłony z tworzywa sztucznego na osłony wykonane </w:t>
      </w:r>
      <w:r>
        <w:rPr>
          <w:rFonts w:cs="Arial"/>
          <w:sz w:val="20"/>
          <w:u w:val="single"/>
        </w:rPr>
        <w:br/>
        <w:t>z aluminium i malowane w kolorze nadajnika. Dla modeli NP03 wymianie podlegały by osłony z przodu i tyłu urządzenia, a dla wersji NP06 tylko z przodu.</w:t>
      </w:r>
    </w:p>
    <w:p w:rsidR="001C19DF" w:rsidRDefault="001C19DF" w:rsidP="001C19DF">
      <w:pPr>
        <w:pStyle w:val="pkt"/>
        <w:tabs>
          <w:tab w:val="left" w:pos="-284"/>
        </w:tabs>
        <w:spacing w:before="0" w:after="0" w:line="360" w:lineRule="auto"/>
        <w:ind w:left="284" w:hanging="284"/>
        <w:rPr>
          <w:rFonts w:ascii="Arial" w:hAnsi="Arial" w:cs="Arial"/>
          <w:sz w:val="20"/>
          <w:szCs w:val="20"/>
        </w:rPr>
      </w:pPr>
    </w:p>
    <w:p w:rsidR="001C19DF" w:rsidRDefault="001C19DF" w:rsidP="001C19DF"/>
    <w:p w:rsidR="00265227" w:rsidRDefault="00265227"/>
    <w:sectPr w:rsidR="00265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D44B1"/>
    <w:multiLevelType w:val="multilevel"/>
    <w:tmpl w:val="3C0ADE7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858" w:hanging="432"/>
      </w:pPr>
      <w:rPr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DF"/>
    <w:rsid w:val="001C19DF"/>
    <w:rsid w:val="0026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A49CD"/>
  <w15:chartTrackingRefBased/>
  <w15:docId w15:val="{EA89035C-C806-49B9-BB00-4395FA80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9DF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19DF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C19DF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19D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C19DF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19DF"/>
    <w:pPr>
      <w:ind w:left="720"/>
      <w:contextualSpacing/>
    </w:pPr>
  </w:style>
  <w:style w:type="character" w:customStyle="1" w:styleId="pktZnak">
    <w:name w:val="pkt Znak"/>
    <w:link w:val="pkt"/>
    <w:locked/>
    <w:rsid w:val="001C19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1C19DF"/>
    <w:pPr>
      <w:spacing w:after="60"/>
      <w:ind w:left="851" w:hanging="295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6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Ostrowska Karolina</cp:lastModifiedBy>
  <cp:revision>1</cp:revision>
  <dcterms:created xsi:type="dcterms:W3CDTF">2019-01-24T13:13:00Z</dcterms:created>
  <dcterms:modified xsi:type="dcterms:W3CDTF">2019-01-24T13:13:00Z</dcterms:modified>
</cp:coreProperties>
</file>